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C4CE" w14:textId="77777777" w:rsidR="005F160D" w:rsidRDefault="005F160D" w:rsidP="005F160D">
      <w:pPr>
        <w:spacing w:line="276" w:lineRule="auto"/>
        <w:rPr>
          <w:rFonts w:ascii="Arial" w:hAnsi="Arial" w:cs="Arial"/>
          <w:sz w:val="22"/>
          <w:szCs w:val="22"/>
        </w:rPr>
      </w:pPr>
    </w:p>
    <w:p w14:paraId="05778E25" w14:textId="6003F231" w:rsidR="005F160D" w:rsidRDefault="005F160D" w:rsidP="00E8613B">
      <w:pPr>
        <w:spacing w:line="276" w:lineRule="auto"/>
        <w:jc w:val="center"/>
        <w:rPr>
          <w:i/>
        </w:rPr>
      </w:pPr>
      <w:r>
        <w:rPr>
          <w:i/>
          <w:noProof/>
        </w:rPr>
        <w:drawing>
          <wp:inline distT="0" distB="0" distL="0" distR="0" wp14:anchorId="0A06A099" wp14:editId="3B4BCF38">
            <wp:extent cx="889000" cy="484306"/>
            <wp:effectExtent l="0" t="0" r="6350" b="0"/>
            <wp:docPr id="238818189" name="Picture 1" descr="A logo of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818189" name="Picture 1" descr="A logo of a university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73" b="20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63" cy="48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 wp14:anchorId="665975AD" wp14:editId="6254B836">
            <wp:extent cx="1365250" cy="472128"/>
            <wp:effectExtent l="0" t="0" r="0" b="0"/>
            <wp:docPr id="726677774" name="Picture 2" descr="A logo with purpl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677774" name="Picture 2" descr="A logo with purple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92" t="22222" r="6004" b="19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394" cy="50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731435" w14:textId="77777777" w:rsidR="00E8613B" w:rsidRPr="00E8613B" w:rsidRDefault="00E8613B" w:rsidP="00E8613B">
      <w:pPr>
        <w:spacing w:line="276" w:lineRule="auto"/>
        <w:jc w:val="center"/>
        <w:rPr>
          <w:i/>
        </w:rPr>
      </w:pPr>
    </w:p>
    <w:p w14:paraId="6E852675" w14:textId="551443BD" w:rsidR="00C72FFA" w:rsidRPr="00E50938" w:rsidRDefault="00087D58" w:rsidP="005F160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0938">
        <w:rPr>
          <w:rFonts w:ascii="Arial" w:hAnsi="Arial" w:cs="Arial"/>
          <w:b/>
          <w:sz w:val="22"/>
          <w:szCs w:val="22"/>
        </w:rPr>
        <w:t xml:space="preserve">Workshop: </w:t>
      </w:r>
      <w:r w:rsidR="00C72FFA" w:rsidRPr="00E50938">
        <w:rPr>
          <w:rFonts w:ascii="Arial" w:hAnsi="Arial" w:cs="Arial"/>
          <w:b/>
          <w:sz w:val="22"/>
          <w:szCs w:val="22"/>
        </w:rPr>
        <w:t>A Research Agenda for Critical Trusts Law</w:t>
      </w:r>
    </w:p>
    <w:p w14:paraId="1A8D9547" w14:textId="77777777" w:rsidR="00F00A2A" w:rsidRPr="00E50938" w:rsidRDefault="00F00A2A" w:rsidP="005F160D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2838A342" w14:textId="49C3D8E5" w:rsidR="007D2FCC" w:rsidRPr="00E8613B" w:rsidRDefault="007D2FCC" w:rsidP="00E8613B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E8613B">
        <w:rPr>
          <w:rFonts w:ascii="Arial" w:hAnsi="Arial" w:cs="Arial"/>
          <w:i/>
          <w:sz w:val="22"/>
          <w:szCs w:val="22"/>
        </w:rPr>
        <w:t>Johanna Jacques (Durham</w:t>
      </w:r>
      <w:r w:rsidR="00A05967" w:rsidRPr="00E8613B">
        <w:rPr>
          <w:rFonts w:ascii="Arial" w:hAnsi="Arial" w:cs="Arial"/>
          <w:i/>
          <w:sz w:val="22"/>
          <w:szCs w:val="22"/>
        </w:rPr>
        <w:t xml:space="preserve"> University</w:t>
      </w:r>
      <w:r w:rsidRPr="00E8613B">
        <w:rPr>
          <w:rFonts w:ascii="Arial" w:hAnsi="Arial" w:cs="Arial"/>
          <w:i/>
          <w:sz w:val="22"/>
          <w:szCs w:val="22"/>
        </w:rPr>
        <w:t>) and Nick Piška (Loughborough University)</w:t>
      </w:r>
    </w:p>
    <w:p w14:paraId="365B58C0" w14:textId="1BB1763A" w:rsidR="00951B72" w:rsidRPr="00E50938" w:rsidRDefault="001C6657" w:rsidP="005F160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50938">
        <w:rPr>
          <w:rFonts w:ascii="Arial" w:hAnsi="Arial" w:cs="Arial"/>
          <w:sz w:val="22"/>
          <w:szCs w:val="22"/>
        </w:rPr>
        <w:t xml:space="preserve">Monday </w:t>
      </w:r>
      <w:r w:rsidR="00951B72" w:rsidRPr="00E50938">
        <w:rPr>
          <w:rFonts w:ascii="Arial" w:hAnsi="Arial" w:cs="Arial"/>
          <w:sz w:val="22"/>
          <w:szCs w:val="22"/>
        </w:rPr>
        <w:t>8 September 2025, 9am to 5pm</w:t>
      </w:r>
    </w:p>
    <w:p w14:paraId="3D4050E2" w14:textId="02114300" w:rsidR="00F81FF5" w:rsidRPr="00E50938" w:rsidRDefault="00F81FF5" w:rsidP="005F160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50938">
        <w:rPr>
          <w:rFonts w:ascii="Arial" w:hAnsi="Arial" w:cs="Arial"/>
          <w:sz w:val="22"/>
          <w:szCs w:val="22"/>
        </w:rPr>
        <w:t>Anne Galbraith Room, Palatine Centre, Durham University</w:t>
      </w:r>
      <w:r w:rsidR="00C13FEC" w:rsidRPr="00E50938">
        <w:rPr>
          <w:rStyle w:val="FootnoteReference"/>
          <w:rFonts w:ascii="Arial" w:hAnsi="Arial" w:cs="Arial"/>
          <w:sz w:val="22"/>
          <w:szCs w:val="22"/>
        </w:rPr>
        <w:footnoteReference w:customMarkFollows="1" w:id="1"/>
        <w:t>*</w:t>
      </w:r>
    </w:p>
    <w:p w14:paraId="0FE79783" w14:textId="77777777" w:rsidR="00491283" w:rsidRPr="00E50938" w:rsidRDefault="00491283" w:rsidP="005F16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61D9EB" w14:textId="340017B9" w:rsidR="00B9772F" w:rsidRDefault="008F7B88" w:rsidP="005F16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0938">
        <w:rPr>
          <w:rFonts w:ascii="Arial" w:hAnsi="Arial" w:cs="Arial"/>
          <w:sz w:val="22"/>
          <w:szCs w:val="22"/>
        </w:rPr>
        <w:t>Critical trusts law is an emerging approach to trusts law that rejects purely doctrinal analysis in favour of a wider contextual</w:t>
      </w:r>
      <w:r w:rsidRPr="00C13FEC">
        <w:rPr>
          <w:rFonts w:ascii="Arial" w:hAnsi="Arial" w:cs="Arial"/>
          <w:sz w:val="22"/>
          <w:szCs w:val="22"/>
        </w:rPr>
        <w:t xml:space="preserve"> vision</w:t>
      </w:r>
      <w:r w:rsidR="00B9772F">
        <w:rPr>
          <w:rFonts w:ascii="Arial" w:hAnsi="Arial" w:cs="Arial"/>
          <w:sz w:val="22"/>
          <w:szCs w:val="22"/>
        </w:rPr>
        <w:t>. This vision</w:t>
      </w:r>
      <w:r w:rsidRPr="00C13FEC">
        <w:rPr>
          <w:rFonts w:ascii="Arial" w:hAnsi="Arial" w:cs="Arial"/>
          <w:sz w:val="22"/>
          <w:szCs w:val="22"/>
        </w:rPr>
        <w:t xml:space="preserve"> incorpora</w:t>
      </w:r>
      <w:r w:rsidR="00B9772F">
        <w:rPr>
          <w:rFonts w:ascii="Arial" w:hAnsi="Arial" w:cs="Arial"/>
          <w:sz w:val="22"/>
          <w:szCs w:val="22"/>
        </w:rPr>
        <w:t>tes</w:t>
      </w:r>
      <w:r w:rsidRPr="00C13FEC">
        <w:rPr>
          <w:rFonts w:ascii="Arial" w:hAnsi="Arial" w:cs="Arial"/>
          <w:sz w:val="22"/>
          <w:szCs w:val="22"/>
        </w:rPr>
        <w:t xml:space="preserve"> theoretical and empirical scholarship from law and other disciplines in order to provide a counterweight to prevailing forces shaping the understanding and development of the law in this area.</w:t>
      </w:r>
      <w:r w:rsidR="00E8613B">
        <w:rPr>
          <w:rFonts w:ascii="Arial" w:hAnsi="Arial" w:cs="Arial"/>
          <w:sz w:val="22"/>
          <w:szCs w:val="22"/>
        </w:rPr>
        <w:t xml:space="preserve"> </w:t>
      </w:r>
    </w:p>
    <w:p w14:paraId="433EA8B0" w14:textId="1E75CEC0" w:rsidR="00C72FFA" w:rsidRPr="00C13FEC" w:rsidRDefault="00E8613B" w:rsidP="005F16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0938">
        <w:rPr>
          <w:rFonts w:ascii="Arial" w:hAnsi="Arial" w:cs="Arial"/>
          <w:sz w:val="22"/>
          <w:szCs w:val="22"/>
        </w:rPr>
        <w:t>Th</w:t>
      </w:r>
      <w:r w:rsidR="00281E6C">
        <w:rPr>
          <w:rFonts w:ascii="Arial" w:hAnsi="Arial" w:cs="Arial"/>
          <w:sz w:val="22"/>
          <w:szCs w:val="22"/>
        </w:rPr>
        <w:t>is</w:t>
      </w:r>
      <w:r w:rsidRPr="00E50938">
        <w:rPr>
          <w:rFonts w:ascii="Arial" w:hAnsi="Arial" w:cs="Arial"/>
          <w:sz w:val="22"/>
          <w:szCs w:val="22"/>
        </w:rPr>
        <w:t xml:space="preserve"> workshop will </w:t>
      </w:r>
      <w:r w:rsidR="00B9772F">
        <w:rPr>
          <w:rFonts w:ascii="Arial" w:hAnsi="Arial" w:cs="Arial"/>
          <w:sz w:val="22"/>
          <w:szCs w:val="22"/>
        </w:rPr>
        <w:t>take</w:t>
      </w:r>
      <w:r w:rsidR="00C72FFA" w:rsidRPr="00C13FEC">
        <w:rPr>
          <w:rFonts w:ascii="Arial" w:hAnsi="Arial" w:cs="Arial"/>
          <w:sz w:val="22"/>
          <w:szCs w:val="22"/>
        </w:rPr>
        <w:t xml:space="preserve"> </w:t>
      </w:r>
      <w:r w:rsidR="00951B72" w:rsidRPr="00C13FEC">
        <w:rPr>
          <w:rFonts w:ascii="Arial" w:hAnsi="Arial" w:cs="Arial"/>
          <w:sz w:val="22"/>
          <w:szCs w:val="22"/>
        </w:rPr>
        <w:t xml:space="preserve">the critical </w:t>
      </w:r>
      <w:r w:rsidR="00C72FFA" w:rsidRPr="00C13FEC">
        <w:rPr>
          <w:rFonts w:ascii="Arial" w:hAnsi="Arial" w:cs="Arial"/>
          <w:sz w:val="22"/>
          <w:szCs w:val="22"/>
        </w:rPr>
        <w:t>tradition forward by setting out a research agenda</w:t>
      </w:r>
      <w:r w:rsidR="00B9772F">
        <w:rPr>
          <w:rFonts w:ascii="Arial" w:hAnsi="Arial" w:cs="Arial"/>
          <w:sz w:val="22"/>
          <w:szCs w:val="22"/>
        </w:rPr>
        <w:t xml:space="preserve"> for trusts law that is </w:t>
      </w:r>
      <w:r w:rsidR="00C72FFA" w:rsidRPr="00C13FEC">
        <w:rPr>
          <w:rFonts w:ascii="Arial" w:hAnsi="Arial" w:cs="Arial"/>
          <w:sz w:val="22"/>
          <w:szCs w:val="22"/>
        </w:rPr>
        <w:t xml:space="preserve">particularly attuned to questions of social justice, exploring trusts law within 10 contexts that are becoming increasingly important in the contemporary theory and practice of </w:t>
      </w:r>
      <w:r w:rsidR="00B9772F">
        <w:rPr>
          <w:rFonts w:ascii="Arial" w:hAnsi="Arial" w:cs="Arial"/>
          <w:sz w:val="22"/>
          <w:szCs w:val="22"/>
        </w:rPr>
        <w:t xml:space="preserve">the </w:t>
      </w:r>
      <w:r w:rsidR="00C72FFA" w:rsidRPr="00C13FEC">
        <w:rPr>
          <w:rFonts w:ascii="Arial" w:hAnsi="Arial" w:cs="Arial"/>
          <w:sz w:val="22"/>
          <w:szCs w:val="22"/>
        </w:rPr>
        <w:t xml:space="preserve">trust: the contribution of trusts to rising wealth inequality; the intersection of trusts with tax; the colonial and imperial legacies of the trust; the global context of modern trusts; the use of trusts in commerce and in financial markets; the use of trusts in family arrangements; the intersection of trusts with environmental, social and governance matters; the regulation of trusts beyond doctrinal understandings of accountability; the impact of technological developments on trusteeship; the normative basis of the trust. </w:t>
      </w:r>
    </w:p>
    <w:p w14:paraId="30E9632A" w14:textId="25F61226" w:rsidR="00C72FFA" w:rsidRDefault="00B9772F" w:rsidP="005F160D">
      <w:pPr>
        <w:spacing w:line="276" w:lineRule="auto"/>
        <w:rPr>
          <w:rFonts w:ascii="Arial" w:hAnsi="Arial" w:cs="Arial"/>
          <w:sz w:val="22"/>
          <w:szCs w:val="22"/>
        </w:rPr>
      </w:pPr>
      <w:r w:rsidRPr="00C13FEC">
        <w:rPr>
          <w:rFonts w:ascii="Arial" w:hAnsi="Arial" w:cs="Arial"/>
          <w:sz w:val="22"/>
          <w:szCs w:val="22"/>
        </w:rPr>
        <w:t xml:space="preserve">The questions that </w:t>
      </w:r>
      <w:r>
        <w:rPr>
          <w:rFonts w:ascii="Arial" w:hAnsi="Arial" w:cs="Arial"/>
          <w:sz w:val="22"/>
          <w:szCs w:val="22"/>
        </w:rPr>
        <w:t>th</w:t>
      </w:r>
      <w:r w:rsidR="00281E6C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workshop will</w:t>
      </w:r>
      <w:r w:rsidRPr="00C13FEC">
        <w:rPr>
          <w:rFonts w:ascii="Arial" w:hAnsi="Arial" w:cs="Arial"/>
          <w:sz w:val="22"/>
          <w:szCs w:val="22"/>
        </w:rPr>
        <w:t xml:space="preserve"> raise will be vital to consider for anyone conducting research in trusts law today</w:t>
      </w:r>
      <w:r>
        <w:rPr>
          <w:rFonts w:ascii="Arial" w:hAnsi="Arial" w:cs="Arial"/>
          <w:sz w:val="22"/>
          <w:szCs w:val="22"/>
        </w:rPr>
        <w:t>. Contributions to the workshop will be published in</w:t>
      </w:r>
      <w:r w:rsidRPr="00E509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Pr="00E50938">
        <w:rPr>
          <w:rFonts w:ascii="Arial" w:hAnsi="Arial" w:cs="Arial"/>
          <w:sz w:val="22"/>
          <w:szCs w:val="22"/>
        </w:rPr>
        <w:t xml:space="preserve"> forthcoming </w:t>
      </w:r>
      <w:r>
        <w:rPr>
          <w:rFonts w:ascii="Arial" w:hAnsi="Arial" w:cs="Arial"/>
          <w:sz w:val="22"/>
          <w:szCs w:val="22"/>
        </w:rPr>
        <w:t>book</w:t>
      </w:r>
      <w:r w:rsidRPr="00E50938">
        <w:rPr>
          <w:rFonts w:ascii="Arial" w:hAnsi="Arial" w:cs="Arial"/>
          <w:sz w:val="22"/>
          <w:szCs w:val="22"/>
        </w:rPr>
        <w:t xml:space="preserve"> </w:t>
      </w:r>
      <w:r w:rsidRPr="00E50938">
        <w:rPr>
          <w:rFonts w:ascii="Arial" w:hAnsi="Arial" w:cs="Arial"/>
          <w:i/>
          <w:iCs/>
          <w:sz w:val="22"/>
          <w:szCs w:val="22"/>
        </w:rPr>
        <w:t>A Research Agenda for Critical Trusts Law</w:t>
      </w:r>
      <w:r w:rsidRPr="00E50938">
        <w:rPr>
          <w:rFonts w:ascii="Arial" w:hAnsi="Arial" w:cs="Arial"/>
          <w:sz w:val="22"/>
          <w:szCs w:val="22"/>
        </w:rPr>
        <w:t xml:space="preserve"> (Edward Elgar, 2026).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315206" w14:textId="7AE2B0DD" w:rsidR="00F00A2A" w:rsidRPr="00E50938" w:rsidRDefault="009A2593" w:rsidP="005F160D">
      <w:pPr>
        <w:spacing w:line="276" w:lineRule="auto"/>
        <w:rPr>
          <w:rFonts w:ascii="Arial" w:hAnsi="Arial" w:cs="Arial"/>
          <w:sz w:val="22"/>
          <w:szCs w:val="22"/>
        </w:rPr>
      </w:pPr>
      <w:r w:rsidRPr="00E50938">
        <w:rPr>
          <w:rFonts w:ascii="Arial" w:hAnsi="Arial" w:cs="Arial"/>
          <w:sz w:val="22"/>
          <w:szCs w:val="22"/>
        </w:rPr>
        <w:t>Speakers include:</w:t>
      </w:r>
    </w:p>
    <w:p w14:paraId="2F674F08" w14:textId="5DEAD6DD" w:rsidR="009A2593" w:rsidRPr="00E50938" w:rsidRDefault="009A2593" w:rsidP="005F160D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  <w:lang w:val="en-US"/>
        </w:rPr>
      </w:pPr>
      <w:r w:rsidRPr="00E50938">
        <w:rPr>
          <w:rFonts w:ascii="Arial" w:hAnsi="Arial" w:cs="Arial"/>
          <w:sz w:val="22"/>
          <w:szCs w:val="22"/>
          <w:lang w:val="en-US"/>
        </w:rPr>
        <w:t xml:space="preserve">Brenna </w:t>
      </w:r>
      <w:proofErr w:type="spellStart"/>
      <w:r w:rsidRPr="00E50938">
        <w:rPr>
          <w:rFonts w:ascii="Arial" w:hAnsi="Arial" w:cs="Arial"/>
          <w:sz w:val="22"/>
          <w:szCs w:val="22"/>
          <w:lang w:val="en-US"/>
        </w:rPr>
        <w:t>Bhandar</w:t>
      </w:r>
      <w:proofErr w:type="spellEnd"/>
      <w:r w:rsidRPr="00E50938">
        <w:rPr>
          <w:rFonts w:ascii="Arial" w:hAnsi="Arial" w:cs="Arial"/>
          <w:sz w:val="22"/>
          <w:szCs w:val="22"/>
          <w:lang w:val="en-US"/>
        </w:rPr>
        <w:t xml:space="preserve"> (University of British Colombia, Canada) on the colonial and imperial legacies of the trust</w:t>
      </w:r>
      <w:r w:rsidR="005F160D">
        <w:rPr>
          <w:rFonts w:ascii="Arial" w:hAnsi="Arial" w:cs="Arial"/>
          <w:sz w:val="22"/>
          <w:szCs w:val="22"/>
          <w:lang w:val="en-US"/>
        </w:rPr>
        <w:t>;</w:t>
      </w:r>
    </w:p>
    <w:p w14:paraId="5578271D" w14:textId="1541C87C" w:rsidR="009A2593" w:rsidRPr="00E50938" w:rsidRDefault="009A2593" w:rsidP="005F160D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  <w:lang w:val="en-US"/>
        </w:rPr>
      </w:pPr>
      <w:r w:rsidRPr="00E50938">
        <w:rPr>
          <w:rFonts w:ascii="Arial" w:hAnsi="Arial" w:cs="Arial"/>
          <w:sz w:val="22"/>
          <w:szCs w:val="22"/>
          <w:lang w:val="en-US"/>
        </w:rPr>
        <w:t>Stephen Connelly (University of Warwick, UK) on the use of trusts in commerce and in financial markets</w:t>
      </w:r>
      <w:r w:rsidR="005F160D">
        <w:rPr>
          <w:rFonts w:ascii="Arial" w:hAnsi="Arial" w:cs="Arial"/>
          <w:sz w:val="22"/>
          <w:szCs w:val="22"/>
          <w:lang w:val="en-US"/>
        </w:rPr>
        <w:t>;</w:t>
      </w:r>
    </w:p>
    <w:p w14:paraId="016DECCA" w14:textId="17B4FB9D" w:rsidR="009A2593" w:rsidRPr="00E50938" w:rsidRDefault="009A2593" w:rsidP="005F160D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  <w:lang w:val="en-US"/>
        </w:rPr>
      </w:pPr>
      <w:r w:rsidRPr="00E50938">
        <w:rPr>
          <w:rFonts w:ascii="Arial" w:hAnsi="Arial" w:cs="Arial"/>
          <w:sz w:val="22"/>
          <w:szCs w:val="22"/>
          <w:lang w:val="en-US"/>
        </w:rPr>
        <w:t>Bridget Crawford (Pace University New York, USA) on the intersection of trusts with tax</w:t>
      </w:r>
      <w:r w:rsidR="005F160D">
        <w:rPr>
          <w:rFonts w:ascii="Arial" w:hAnsi="Arial" w:cs="Arial"/>
          <w:sz w:val="22"/>
          <w:szCs w:val="22"/>
          <w:lang w:val="en-US"/>
        </w:rPr>
        <w:t>;</w:t>
      </w:r>
    </w:p>
    <w:p w14:paraId="2E5AB172" w14:textId="15258337" w:rsidR="009A2593" w:rsidRPr="00E50938" w:rsidRDefault="009A2593" w:rsidP="005F160D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  <w:lang w:val="en-US"/>
        </w:rPr>
      </w:pPr>
      <w:r w:rsidRPr="00E50938">
        <w:rPr>
          <w:rFonts w:ascii="Arial" w:hAnsi="Arial" w:cs="Arial"/>
          <w:sz w:val="22"/>
          <w:szCs w:val="22"/>
          <w:lang w:val="en-US"/>
        </w:rPr>
        <w:t>Ellen Gordon-Bouvier (University of Exeter, UK) on the use of trusts in family arrangements</w:t>
      </w:r>
      <w:r w:rsidR="005F160D">
        <w:rPr>
          <w:rFonts w:ascii="Arial" w:hAnsi="Arial" w:cs="Arial"/>
          <w:sz w:val="22"/>
          <w:szCs w:val="22"/>
          <w:lang w:val="en-US"/>
        </w:rPr>
        <w:t>;</w:t>
      </w:r>
    </w:p>
    <w:p w14:paraId="568E19F0" w14:textId="5B278BE7" w:rsidR="009A2593" w:rsidRPr="00E50938" w:rsidRDefault="009A2593" w:rsidP="005F160D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  <w:lang w:val="en-US"/>
        </w:rPr>
      </w:pPr>
      <w:r w:rsidRPr="00E50938">
        <w:rPr>
          <w:rFonts w:ascii="Arial" w:hAnsi="Arial" w:cs="Arial"/>
          <w:sz w:val="22"/>
          <w:szCs w:val="22"/>
          <w:lang w:val="en-US"/>
        </w:rPr>
        <w:lastRenderedPageBreak/>
        <w:t>Rob Herian (University of Exeter, UK) on the impact of technological developments on trusteeship</w:t>
      </w:r>
      <w:r w:rsidR="005F160D">
        <w:rPr>
          <w:rFonts w:ascii="Arial" w:hAnsi="Arial" w:cs="Arial"/>
          <w:sz w:val="22"/>
          <w:szCs w:val="22"/>
          <w:lang w:val="en-US"/>
        </w:rPr>
        <w:t>;</w:t>
      </w:r>
    </w:p>
    <w:p w14:paraId="11722585" w14:textId="172EFC3B" w:rsidR="009A2593" w:rsidRPr="00E50938" w:rsidRDefault="009A2593" w:rsidP="005F160D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  <w:lang w:val="en-US"/>
        </w:rPr>
      </w:pPr>
      <w:r w:rsidRPr="00E50938">
        <w:rPr>
          <w:rFonts w:ascii="Arial" w:hAnsi="Arial" w:cs="Arial"/>
          <w:sz w:val="22"/>
          <w:szCs w:val="22"/>
          <w:lang w:val="en-US"/>
        </w:rPr>
        <w:t>Johanna Jacques (University of Durham, UK) on the normative basis of the trust</w:t>
      </w:r>
      <w:r w:rsidR="005F160D">
        <w:rPr>
          <w:rFonts w:ascii="Arial" w:hAnsi="Arial" w:cs="Arial"/>
          <w:sz w:val="22"/>
          <w:szCs w:val="22"/>
          <w:lang w:val="en-US"/>
        </w:rPr>
        <w:t>;</w:t>
      </w:r>
    </w:p>
    <w:p w14:paraId="704CD675" w14:textId="67F32F42" w:rsidR="009A2593" w:rsidRPr="00E50938" w:rsidRDefault="009A2593" w:rsidP="005F160D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  <w:lang w:val="en-US"/>
        </w:rPr>
      </w:pPr>
      <w:r w:rsidRPr="00E50938">
        <w:rPr>
          <w:rFonts w:ascii="Arial" w:hAnsi="Arial" w:cs="Arial"/>
          <w:sz w:val="22"/>
          <w:szCs w:val="22"/>
          <w:lang w:val="en-US"/>
        </w:rPr>
        <w:t>John Picton (University of Manchester, UK) on the intersection of trusts with environmental, social and governance matters</w:t>
      </w:r>
      <w:r w:rsidR="005F160D">
        <w:rPr>
          <w:rFonts w:ascii="Arial" w:hAnsi="Arial" w:cs="Arial"/>
          <w:sz w:val="22"/>
          <w:szCs w:val="22"/>
          <w:lang w:val="en-US"/>
        </w:rPr>
        <w:t>;</w:t>
      </w:r>
    </w:p>
    <w:p w14:paraId="20FD2655" w14:textId="7768EFFC" w:rsidR="009A2593" w:rsidRPr="00E50938" w:rsidRDefault="009A2593" w:rsidP="005F160D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  <w:lang w:val="en-US"/>
        </w:rPr>
      </w:pPr>
      <w:r w:rsidRPr="00E50938">
        <w:rPr>
          <w:rFonts w:ascii="Arial" w:hAnsi="Arial" w:cs="Arial"/>
          <w:sz w:val="22"/>
          <w:szCs w:val="22"/>
          <w:lang w:val="en-US"/>
        </w:rPr>
        <w:t>Nick Pi</w:t>
      </w:r>
      <w:r w:rsidRPr="00E50938">
        <w:rPr>
          <w:rFonts w:ascii="Arial" w:hAnsi="Arial" w:cs="Arial"/>
          <w:sz w:val="22"/>
          <w:szCs w:val="22"/>
        </w:rPr>
        <w:t>š</w:t>
      </w:r>
      <w:r w:rsidRPr="00E50938">
        <w:rPr>
          <w:rFonts w:ascii="Arial" w:hAnsi="Arial" w:cs="Arial"/>
          <w:sz w:val="22"/>
          <w:szCs w:val="22"/>
          <w:lang w:val="en-US"/>
        </w:rPr>
        <w:t>ka (Loughborough University, UK) on the regulation of trusts beyond doctrinal understandings of accountability</w:t>
      </w:r>
      <w:r w:rsidR="005F160D">
        <w:rPr>
          <w:rFonts w:ascii="Arial" w:hAnsi="Arial" w:cs="Arial"/>
          <w:sz w:val="22"/>
          <w:szCs w:val="22"/>
          <w:lang w:val="en-US"/>
        </w:rPr>
        <w:t>;</w:t>
      </w:r>
    </w:p>
    <w:p w14:paraId="2D760C4E" w14:textId="0FCB7DCD" w:rsidR="00126F45" w:rsidRPr="00E50938" w:rsidRDefault="00126F45" w:rsidP="005F160D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  <w:lang w:val="en-US"/>
        </w:rPr>
      </w:pPr>
      <w:r w:rsidRPr="00E50938">
        <w:rPr>
          <w:rFonts w:ascii="Arial" w:hAnsi="Arial" w:cs="Arial"/>
          <w:sz w:val="22"/>
          <w:szCs w:val="22"/>
          <w:lang w:val="en-US"/>
        </w:rPr>
        <w:t>Allison Anna Tait (University of Richmond, USA)</w:t>
      </w:r>
      <w:r w:rsidR="009A2593" w:rsidRPr="00E50938">
        <w:rPr>
          <w:rFonts w:ascii="Arial" w:hAnsi="Arial" w:cs="Arial"/>
          <w:sz w:val="22"/>
          <w:szCs w:val="22"/>
          <w:lang w:val="en-US"/>
        </w:rPr>
        <w:t xml:space="preserve"> on t</w:t>
      </w:r>
      <w:r w:rsidRPr="00E50938">
        <w:rPr>
          <w:rFonts w:ascii="Arial" w:hAnsi="Arial" w:cs="Arial"/>
          <w:sz w:val="22"/>
          <w:szCs w:val="22"/>
          <w:lang w:val="en-US"/>
        </w:rPr>
        <w:t>he contribution of trusts to rising wealth inequality</w:t>
      </w:r>
      <w:r w:rsidR="005F160D">
        <w:rPr>
          <w:rFonts w:ascii="Arial" w:hAnsi="Arial" w:cs="Arial"/>
          <w:sz w:val="22"/>
          <w:szCs w:val="22"/>
          <w:lang w:val="en-US"/>
        </w:rPr>
        <w:t>;</w:t>
      </w:r>
    </w:p>
    <w:p w14:paraId="3F626920" w14:textId="0CA5E07E" w:rsidR="00126F45" w:rsidRDefault="009A2593" w:rsidP="005F160D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  <w:lang w:val="en-US"/>
        </w:rPr>
      </w:pPr>
      <w:r w:rsidRPr="00E50938">
        <w:rPr>
          <w:rFonts w:ascii="Arial" w:hAnsi="Arial" w:cs="Arial"/>
          <w:sz w:val="22"/>
          <w:szCs w:val="22"/>
          <w:lang w:val="en-US"/>
        </w:rPr>
        <w:t>Michael Widdowson (European University Institute, Italy) on t</w:t>
      </w:r>
      <w:r w:rsidR="00126F45" w:rsidRPr="00E50938">
        <w:rPr>
          <w:rFonts w:ascii="Arial" w:hAnsi="Arial" w:cs="Arial"/>
          <w:sz w:val="22"/>
          <w:szCs w:val="22"/>
          <w:lang w:val="en-US"/>
        </w:rPr>
        <w:t>he global context of modern trusts</w:t>
      </w:r>
      <w:r w:rsidR="005F160D">
        <w:rPr>
          <w:rFonts w:ascii="Arial" w:hAnsi="Arial" w:cs="Arial"/>
          <w:sz w:val="22"/>
          <w:szCs w:val="22"/>
          <w:lang w:val="en-US"/>
        </w:rPr>
        <w:t>.</w:t>
      </w:r>
    </w:p>
    <w:p w14:paraId="2221B164" w14:textId="77777777" w:rsidR="00E75C0D" w:rsidRDefault="00E75C0D" w:rsidP="00E75C0D">
      <w:pPr>
        <w:spacing w:after="0" w:line="276" w:lineRule="auto"/>
        <w:rPr>
          <w:rFonts w:ascii="Arial" w:hAnsi="Arial" w:cs="Arial"/>
          <w:sz w:val="22"/>
          <w:szCs w:val="22"/>
          <w:lang w:val="en-US"/>
        </w:rPr>
      </w:pPr>
    </w:p>
    <w:p w14:paraId="4BA2D904" w14:textId="12FEA57D" w:rsidR="00E75C0D" w:rsidRPr="00E50938" w:rsidRDefault="00E75C0D" w:rsidP="00E75C0D">
      <w:pPr>
        <w:spacing w:after="0" w:line="276" w:lineRule="auto"/>
        <w:rPr>
          <w:rFonts w:ascii="Arial" w:hAnsi="Arial" w:cs="Arial"/>
          <w:sz w:val="22"/>
          <w:szCs w:val="22"/>
          <w:lang w:val="en-US"/>
        </w:rPr>
      </w:pPr>
      <w:r w:rsidRPr="00E75C0D">
        <w:rPr>
          <w:rFonts w:ascii="Arial" w:hAnsi="Arial" w:cs="Arial"/>
          <w:sz w:val="22"/>
          <w:szCs w:val="22"/>
        </w:rPr>
        <w:t>The workshop will feature a distinguished group of international scholars whose expertise spans the full range of contemporary issues in trusts law, bringing together perspectives from academia, policy, and practice</w:t>
      </w:r>
    </w:p>
    <w:p w14:paraId="19462165" w14:textId="77777777" w:rsidR="00A05967" w:rsidRPr="005F160D" w:rsidRDefault="00A05967" w:rsidP="005F160D">
      <w:pPr>
        <w:spacing w:line="276" w:lineRule="auto"/>
        <w:rPr>
          <w:rFonts w:ascii="Arial" w:hAnsi="Arial" w:cs="Arial"/>
          <w:sz w:val="22"/>
          <w:szCs w:val="22"/>
        </w:rPr>
      </w:pPr>
    </w:p>
    <w:p w14:paraId="3BD69073" w14:textId="0052C6D9" w:rsidR="005F160D" w:rsidRPr="005F160D" w:rsidRDefault="006D3186" w:rsidP="00B9772F">
      <w:pPr>
        <w:spacing w:line="276" w:lineRule="auto"/>
        <w:rPr>
          <w:rFonts w:ascii="Arial" w:hAnsi="Arial" w:cs="Arial"/>
          <w:sz w:val="22"/>
          <w:szCs w:val="22"/>
        </w:rPr>
      </w:pPr>
      <w:r w:rsidRPr="005F160D">
        <w:rPr>
          <w:rFonts w:ascii="Arial" w:hAnsi="Arial" w:cs="Arial"/>
          <w:sz w:val="22"/>
          <w:szCs w:val="22"/>
        </w:rPr>
        <w:t xml:space="preserve">The workshop has been </w:t>
      </w:r>
      <w:r w:rsidR="00B9772F">
        <w:rPr>
          <w:rFonts w:ascii="Arial" w:hAnsi="Arial" w:cs="Arial"/>
          <w:sz w:val="22"/>
          <w:szCs w:val="22"/>
        </w:rPr>
        <w:t xml:space="preserve">generously </w:t>
      </w:r>
      <w:r w:rsidRPr="005F160D">
        <w:rPr>
          <w:rFonts w:ascii="Arial" w:hAnsi="Arial" w:cs="Arial"/>
          <w:sz w:val="22"/>
          <w:szCs w:val="22"/>
        </w:rPr>
        <w:t>supported by Durham Law School</w:t>
      </w:r>
      <w:r w:rsidR="003E3541" w:rsidRPr="005F160D">
        <w:rPr>
          <w:rFonts w:ascii="Arial" w:hAnsi="Arial" w:cs="Arial"/>
          <w:sz w:val="22"/>
          <w:szCs w:val="22"/>
        </w:rPr>
        <w:t xml:space="preserve">, and is part of the </w:t>
      </w:r>
      <w:hyperlink r:id="rId10" w:history="1">
        <w:r w:rsidR="0095184A" w:rsidRPr="005F160D">
          <w:rPr>
            <w:rStyle w:val="Hyperlink"/>
            <w:rFonts w:ascii="Arial" w:hAnsi="Arial" w:cs="Arial"/>
            <w:sz w:val="22"/>
            <w:szCs w:val="22"/>
          </w:rPr>
          <w:t xml:space="preserve">Durham </w:t>
        </w:r>
        <w:r w:rsidR="003E3541" w:rsidRPr="005F160D">
          <w:rPr>
            <w:rStyle w:val="Hyperlink"/>
            <w:rFonts w:ascii="Arial" w:hAnsi="Arial" w:cs="Arial"/>
            <w:sz w:val="22"/>
            <w:szCs w:val="22"/>
          </w:rPr>
          <w:t>Centre for Law and Philosophy</w:t>
        </w:r>
      </w:hyperlink>
      <w:r w:rsidR="00E72927" w:rsidRPr="005F160D">
        <w:rPr>
          <w:rFonts w:ascii="Arial" w:hAnsi="Arial" w:cs="Arial"/>
          <w:sz w:val="22"/>
          <w:szCs w:val="22"/>
        </w:rPr>
        <w:t xml:space="preserve"> series of events and the </w:t>
      </w:r>
      <w:hyperlink r:id="rId11" w:history="1">
        <w:r w:rsidR="00A36401" w:rsidRPr="005F160D">
          <w:rPr>
            <w:rStyle w:val="Hyperlink"/>
            <w:rFonts w:ascii="Arial" w:hAnsi="Arial" w:cs="Arial"/>
            <w:sz w:val="22"/>
            <w:szCs w:val="22"/>
          </w:rPr>
          <w:t>Equity &amp; Trusts Research Network</w:t>
        </w:r>
      </w:hyperlink>
      <w:r w:rsidR="00A36401" w:rsidRPr="005F160D">
        <w:rPr>
          <w:rFonts w:ascii="Arial" w:hAnsi="Arial" w:cs="Arial"/>
          <w:sz w:val="22"/>
          <w:szCs w:val="22"/>
        </w:rPr>
        <w:t>.</w:t>
      </w:r>
    </w:p>
    <w:p w14:paraId="3170591B" w14:textId="618B8B27" w:rsidR="005F160D" w:rsidRPr="005F160D" w:rsidRDefault="005F160D" w:rsidP="00B9772F">
      <w:pPr>
        <w:spacing w:line="276" w:lineRule="auto"/>
        <w:rPr>
          <w:rFonts w:ascii="Arial" w:hAnsi="Arial" w:cs="Arial"/>
          <w:sz w:val="22"/>
          <w:szCs w:val="22"/>
        </w:rPr>
      </w:pPr>
      <w:r w:rsidRPr="005F160D">
        <w:rPr>
          <w:rFonts w:ascii="Arial" w:hAnsi="Arial" w:cs="Arial"/>
          <w:sz w:val="22"/>
          <w:szCs w:val="22"/>
        </w:rPr>
        <w:t>If you would like to attend</w:t>
      </w:r>
      <w:r w:rsidR="00B9772F">
        <w:rPr>
          <w:rFonts w:ascii="Arial" w:hAnsi="Arial" w:cs="Arial"/>
          <w:sz w:val="22"/>
          <w:szCs w:val="22"/>
        </w:rPr>
        <w:t xml:space="preserve"> the workshop</w:t>
      </w:r>
      <w:r w:rsidRPr="005F160D">
        <w:rPr>
          <w:rFonts w:ascii="Arial" w:hAnsi="Arial" w:cs="Arial"/>
          <w:sz w:val="22"/>
          <w:szCs w:val="22"/>
        </w:rPr>
        <w:t>, please contact Johanna Jacques</w:t>
      </w:r>
      <w:r w:rsidR="00B9772F">
        <w:rPr>
          <w:rFonts w:ascii="Arial" w:hAnsi="Arial" w:cs="Arial"/>
          <w:sz w:val="22"/>
          <w:szCs w:val="22"/>
        </w:rPr>
        <w:t xml:space="preserve"> (</w:t>
      </w:r>
      <w:hyperlink r:id="rId12" w:history="1">
        <w:r w:rsidR="00B9772F" w:rsidRPr="00D45BDD">
          <w:rPr>
            <w:rStyle w:val="Hyperlink"/>
            <w:rFonts w:ascii="Arial" w:hAnsi="Arial" w:cs="Arial"/>
            <w:sz w:val="22"/>
            <w:szCs w:val="22"/>
          </w:rPr>
          <w:t>johanna.jacques@durham.ac.uk</w:t>
        </w:r>
      </w:hyperlink>
      <w:r w:rsidR="00B9772F">
        <w:rPr>
          <w:rFonts w:ascii="Arial" w:hAnsi="Arial" w:cs="Arial"/>
          <w:sz w:val="22"/>
          <w:szCs w:val="22"/>
        </w:rPr>
        <w:t>)</w:t>
      </w:r>
      <w:r w:rsidRPr="005F160D">
        <w:rPr>
          <w:rFonts w:ascii="Arial" w:hAnsi="Arial" w:cs="Arial"/>
          <w:sz w:val="22"/>
          <w:szCs w:val="22"/>
        </w:rPr>
        <w:t xml:space="preserve">. </w:t>
      </w:r>
    </w:p>
    <w:p w14:paraId="55FB6E00" w14:textId="1F4BD928" w:rsidR="00C13FEC" w:rsidRDefault="00C13FEC" w:rsidP="005F160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9FD911F" w14:textId="7CF54139" w:rsidR="00C04291" w:rsidRPr="00E8613B" w:rsidRDefault="00197E9C" w:rsidP="005F160D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8613B">
        <w:rPr>
          <w:rFonts w:ascii="Arial" w:hAnsi="Arial" w:cs="Arial"/>
          <w:b/>
          <w:bCs/>
          <w:sz w:val="22"/>
          <w:szCs w:val="22"/>
        </w:rPr>
        <w:lastRenderedPageBreak/>
        <w:t xml:space="preserve">Workshop </w:t>
      </w:r>
      <w:r w:rsidR="00C13FEC" w:rsidRPr="00E8613B">
        <w:rPr>
          <w:rFonts w:ascii="Arial" w:hAnsi="Arial" w:cs="Arial"/>
          <w:b/>
          <w:bCs/>
          <w:sz w:val="22"/>
          <w:szCs w:val="22"/>
        </w:rPr>
        <w:t>Programme</w:t>
      </w:r>
    </w:p>
    <w:p w14:paraId="7F8C15DB" w14:textId="77777777" w:rsidR="00197E9C" w:rsidRPr="009A2593" w:rsidRDefault="00197E9C" w:rsidP="005F160D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331EA" w:rsidRPr="009A2593" w14:paraId="04AE200D" w14:textId="77777777" w:rsidTr="00E331EA">
        <w:tc>
          <w:tcPr>
            <w:tcW w:w="1555" w:type="dxa"/>
          </w:tcPr>
          <w:p w14:paraId="10420AD2" w14:textId="0B2F059B" w:rsidR="00E331EA" w:rsidRPr="009A2593" w:rsidRDefault="00E331EA" w:rsidP="00E86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7461" w:type="dxa"/>
          </w:tcPr>
          <w:p w14:paraId="2F173960" w14:textId="77777777" w:rsidR="00E331EA" w:rsidRPr="009A2593" w:rsidRDefault="00E331EA" w:rsidP="00E86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Arrivals, welcome and introduction</w:t>
            </w:r>
          </w:p>
          <w:p w14:paraId="3CF6F974" w14:textId="337B51AC" w:rsidR="00A21C52" w:rsidRPr="009A2593" w:rsidRDefault="00A21C52" w:rsidP="00E861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2593">
              <w:rPr>
                <w:rFonts w:ascii="Arial" w:hAnsi="Arial" w:cs="Arial"/>
                <w:i/>
                <w:iCs/>
                <w:sz w:val="20"/>
                <w:szCs w:val="20"/>
              </w:rPr>
              <w:t>Anne Galbraith Room, Palatine Centre, Durham University</w:t>
            </w:r>
          </w:p>
          <w:p w14:paraId="50A5D375" w14:textId="4D1B9E23" w:rsidR="00401266" w:rsidRPr="009A2593" w:rsidRDefault="00401266" w:rsidP="00E86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1EA" w:rsidRPr="009A2593" w14:paraId="27F5EBC9" w14:textId="77777777" w:rsidTr="00E331EA">
        <w:tc>
          <w:tcPr>
            <w:tcW w:w="1555" w:type="dxa"/>
          </w:tcPr>
          <w:p w14:paraId="5BFDA46E" w14:textId="09465374" w:rsidR="00E331EA" w:rsidRPr="009A2593" w:rsidRDefault="00E331EA" w:rsidP="00E8613B">
            <w:pPr>
              <w:rPr>
                <w:rFonts w:ascii="Arial" w:hAnsi="Arial" w:cs="Arial"/>
                <w:sz w:val="20"/>
                <w:szCs w:val="20"/>
              </w:rPr>
            </w:pP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="00035BEB"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11</w:t>
            </w:r>
            <w:r w:rsidR="00035BEB"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1" w:type="dxa"/>
          </w:tcPr>
          <w:p w14:paraId="3B7FAE84" w14:textId="22202E8D" w:rsidR="00C05097" w:rsidRDefault="00E331EA" w:rsidP="00E86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Panel 1</w:t>
            </w:r>
          </w:p>
          <w:p w14:paraId="6AE4CB5C" w14:textId="77777777" w:rsidR="00C05097" w:rsidRPr="009A2593" w:rsidRDefault="00C05097" w:rsidP="00E861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5A78D0" w14:textId="77777777" w:rsidR="00C05097" w:rsidRPr="009A2593" w:rsidRDefault="00C05097" w:rsidP="00E8613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Cs/>
                <w:sz w:val="20"/>
                <w:szCs w:val="20"/>
                <w:lang w:val="en-US"/>
              </w:rPr>
              <w:t>Trusts and the family</w:t>
            </w:r>
          </w:p>
          <w:p w14:paraId="37D9AF16" w14:textId="5C29F381" w:rsidR="00C05097" w:rsidRPr="009A2593" w:rsidRDefault="00C05097" w:rsidP="00E8613B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Dr Ellen Gordon-Bouvier (University of E</w:t>
            </w:r>
            <w:r w:rsidR="00483D77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xeter</w:t>
            </w:r>
            <w:r w:rsidRPr="009A2593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  <w:p w14:paraId="351EAB92" w14:textId="77777777" w:rsidR="00C05097" w:rsidRPr="009A2593" w:rsidRDefault="00C05097" w:rsidP="00E861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A8CBF0" w14:textId="77777777" w:rsidR="00C05097" w:rsidRPr="009A2593" w:rsidRDefault="00C05097" w:rsidP="00E8613B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Commerce, finance and capitalism</w:t>
            </w:r>
          </w:p>
          <w:p w14:paraId="0AA4B678" w14:textId="77777777" w:rsidR="00C05097" w:rsidRPr="009A2593" w:rsidRDefault="00C05097" w:rsidP="00E8613B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Stephen Connelly (University of Warwick)</w:t>
            </w:r>
          </w:p>
          <w:p w14:paraId="1D9C52E1" w14:textId="77777777" w:rsidR="00E331EA" w:rsidRDefault="00E331EA" w:rsidP="00E861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244C85" w14:textId="77777777" w:rsidR="00281E6C" w:rsidRPr="009A2593" w:rsidRDefault="00281E6C" w:rsidP="00281E6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Normative justifications</w:t>
            </w:r>
          </w:p>
          <w:p w14:paraId="3898486F" w14:textId="77777777" w:rsidR="00281E6C" w:rsidRPr="009A2593" w:rsidRDefault="00281E6C" w:rsidP="00281E6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Dr Johanna Jacques (University of Durham)</w:t>
            </w:r>
          </w:p>
          <w:p w14:paraId="2C99EBC0" w14:textId="211D972A" w:rsidR="00281E6C" w:rsidRPr="009A2593" w:rsidRDefault="00281E6C" w:rsidP="00E861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1266" w:rsidRPr="009A2593" w14:paraId="32C8AB4F" w14:textId="77777777" w:rsidTr="00E331EA">
        <w:tc>
          <w:tcPr>
            <w:tcW w:w="1555" w:type="dxa"/>
          </w:tcPr>
          <w:p w14:paraId="5BE15129" w14:textId="42978893" w:rsidR="00401266" w:rsidRPr="009A2593" w:rsidRDefault="00C05097" w:rsidP="00E86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035BEB"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</w:t>
            </w:r>
            <w:r w:rsidR="007518A8"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461" w:type="dxa"/>
          </w:tcPr>
          <w:p w14:paraId="5BA86AAF" w14:textId="77777777" w:rsidR="00401266" w:rsidRPr="009A2593" w:rsidRDefault="00C05097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Coffee/tea</w:t>
            </w:r>
          </w:p>
          <w:p w14:paraId="6DF38881" w14:textId="30BC4895" w:rsidR="00C05097" w:rsidRPr="009A2593" w:rsidRDefault="00C05097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</w:p>
        </w:tc>
      </w:tr>
      <w:tr w:rsidR="00C05097" w:rsidRPr="009A2593" w14:paraId="466B2186" w14:textId="77777777" w:rsidTr="00E331EA">
        <w:tc>
          <w:tcPr>
            <w:tcW w:w="1555" w:type="dxa"/>
          </w:tcPr>
          <w:p w14:paraId="6465B28F" w14:textId="43646E63" w:rsidR="00C05097" w:rsidRPr="009A2593" w:rsidRDefault="00C05097" w:rsidP="00E86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1130 – 13</w:t>
            </w:r>
            <w:r w:rsidR="00035BEB"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7518A8"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61" w:type="dxa"/>
          </w:tcPr>
          <w:p w14:paraId="60EBF32F" w14:textId="47A69184" w:rsidR="00C05097" w:rsidRDefault="00C05097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Panel 2</w:t>
            </w:r>
          </w:p>
          <w:p w14:paraId="5393DFA2" w14:textId="77777777" w:rsidR="00E8613B" w:rsidRPr="009A2593" w:rsidRDefault="00E8613B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</w:p>
          <w:p w14:paraId="0978106F" w14:textId="77777777" w:rsidR="00A21C52" w:rsidRPr="009A2593" w:rsidRDefault="00A21C52" w:rsidP="00E8613B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Environmental, social and governance</w:t>
            </w:r>
          </w:p>
          <w:p w14:paraId="5E1B3349" w14:textId="77777777" w:rsidR="00A21C52" w:rsidRPr="009A2593" w:rsidRDefault="00A21C52" w:rsidP="00E8613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i/>
                <w:sz w:val="20"/>
                <w:szCs w:val="20"/>
                <w:lang w:val="en-US"/>
              </w:rPr>
              <w:t>Dr John Picton (University of Manchester)</w:t>
            </w:r>
          </w:p>
          <w:p w14:paraId="548B63DD" w14:textId="77777777" w:rsidR="00A21C52" w:rsidRPr="009A2593" w:rsidRDefault="00A21C52" w:rsidP="00E8613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02830828" w14:textId="77777777" w:rsidR="00A21C52" w:rsidRPr="009A2593" w:rsidRDefault="00A21C52" w:rsidP="00E8613B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Regulating trusts</w:t>
            </w:r>
          </w:p>
          <w:p w14:paraId="77DC8519" w14:textId="77777777" w:rsidR="00A21C52" w:rsidRPr="009A2593" w:rsidRDefault="00A21C52" w:rsidP="00E8613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i/>
                <w:sz w:val="20"/>
                <w:szCs w:val="20"/>
                <w:lang w:val="en-US"/>
              </w:rPr>
              <w:t>Nick Piška (Loughborough University)</w:t>
            </w:r>
          </w:p>
          <w:p w14:paraId="61EB147B" w14:textId="77777777" w:rsidR="00A21C52" w:rsidRPr="009A2593" w:rsidRDefault="00A21C52" w:rsidP="00E8613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127DA1F5" w14:textId="77777777" w:rsidR="00A21C52" w:rsidRPr="009A2593" w:rsidRDefault="00A21C52" w:rsidP="00E8613B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Technologies of trust</w:t>
            </w:r>
          </w:p>
          <w:p w14:paraId="78BADD5C" w14:textId="77777777" w:rsidR="00A21C52" w:rsidRPr="009A2593" w:rsidRDefault="00A21C52" w:rsidP="00E8613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i/>
                <w:sz w:val="20"/>
                <w:szCs w:val="20"/>
                <w:lang w:val="en-US"/>
              </w:rPr>
              <w:t>Dr Rob Herian (University of Exeter)</w:t>
            </w:r>
          </w:p>
          <w:p w14:paraId="2C8005CC" w14:textId="711B05DF" w:rsidR="00C05097" w:rsidRPr="009A2593" w:rsidRDefault="00C05097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</w:p>
        </w:tc>
      </w:tr>
      <w:tr w:rsidR="00A21C52" w:rsidRPr="009A2593" w14:paraId="27ED53AA" w14:textId="77777777" w:rsidTr="00E331EA">
        <w:tc>
          <w:tcPr>
            <w:tcW w:w="1555" w:type="dxa"/>
          </w:tcPr>
          <w:p w14:paraId="4407E7BC" w14:textId="2221D354" w:rsidR="00A21C52" w:rsidRPr="009A2593" w:rsidRDefault="00A21C52" w:rsidP="00E86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035BEB"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14</w:t>
            </w:r>
            <w:r w:rsidR="00035BEB"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1" w:type="dxa"/>
          </w:tcPr>
          <w:p w14:paraId="46D7B2CC" w14:textId="77777777" w:rsidR="00A21C52" w:rsidRPr="009A2593" w:rsidRDefault="00A21C52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Lunch</w:t>
            </w:r>
          </w:p>
          <w:p w14:paraId="7E51EC90" w14:textId="7EEA36CB" w:rsidR="00A21C52" w:rsidRPr="009A2593" w:rsidRDefault="00A21C52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</w:p>
        </w:tc>
      </w:tr>
      <w:tr w:rsidR="00A21C52" w:rsidRPr="009A2593" w14:paraId="35D71C3E" w14:textId="77777777" w:rsidTr="00E331EA">
        <w:tc>
          <w:tcPr>
            <w:tcW w:w="1555" w:type="dxa"/>
          </w:tcPr>
          <w:p w14:paraId="044177C5" w14:textId="08C5614A" w:rsidR="00A21C52" w:rsidRPr="009A2593" w:rsidRDefault="00A21C52" w:rsidP="00E86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1400 – 1500</w:t>
            </w:r>
          </w:p>
        </w:tc>
        <w:tc>
          <w:tcPr>
            <w:tcW w:w="7461" w:type="dxa"/>
          </w:tcPr>
          <w:p w14:paraId="28FCAAAF" w14:textId="5C295AEE" w:rsidR="00A21C52" w:rsidRDefault="00A21C52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Panel 3</w:t>
            </w:r>
          </w:p>
          <w:p w14:paraId="2A14E174" w14:textId="77777777" w:rsidR="00E8613B" w:rsidRPr="009A2593" w:rsidRDefault="00E8613B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</w:p>
          <w:p w14:paraId="72CCF058" w14:textId="77777777" w:rsidR="00A21C52" w:rsidRPr="009A2593" w:rsidRDefault="00A21C52" w:rsidP="00E8613B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Inequality</w:t>
            </w:r>
          </w:p>
          <w:p w14:paraId="3B2D50D0" w14:textId="77777777" w:rsidR="00A21C52" w:rsidRPr="009A2593" w:rsidRDefault="00A21C52" w:rsidP="00E8613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i/>
                <w:sz w:val="20"/>
                <w:szCs w:val="20"/>
                <w:lang w:val="en-US"/>
              </w:rPr>
              <w:t>Professor Allison Anna Tait (University of Richmond, USA)</w:t>
            </w:r>
          </w:p>
          <w:p w14:paraId="54820451" w14:textId="77777777" w:rsidR="00A21C52" w:rsidRPr="009A2593" w:rsidRDefault="00A21C52" w:rsidP="00E861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C7F94" w14:textId="77777777" w:rsidR="00A21C52" w:rsidRPr="009A2593" w:rsidRDefault="00A21C52" w:rsidP="00E8613B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iCs/>
                <w:sz w:val="20"/>
                <w:szCs w:val="20"/>
                <w:lang w:val="en-US"/>
              </w:rPr>
              <w:t>Tax and political economy</w:t>
            </w:r>
          </w:p>
          <w:p w14:paraId="7DE716AC" w14:textId="77777777" w:rsidR="00A21C52" w:rsidRPr="009A2593" w:rsidRDefault="00A21C52" w:rsidP="00E8613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i/>
                <w:sz w:val="20"/>
                <w:szCs w:val="20"/>
                <w:lang w:val="en-US"/>
              </w:rPr>
              <w:t>Professor Bridget J. Crawford (Pace University New York, USA)</w:t>
            </w:r>
          </w:p>
          <w:p w14:paraId="5E9C8640" w14:textId="67059D1E" w:rsidR="00A21C52" w:rsidRPr="009A2593" w:rsidRDefault="00A21C52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</w:p>
        </w:tc>
      </w:tr>
      <w:tr w:rsidR="0089717B" w:rsidRPr="009A2593" w14:paraId="344C5BEE" w14:textId="77777777" w:rsidTr="00E331EA">
        <w:tc>
          <w:tcPr>
            <w:tcW w:w="1555" w:type="dxa"/>
          </w:tcPr>
          <w:p w14:paraId="28ED3CC1" w14:textId="6BEC54DA" w:rsidR="0089717B" w:rsidRPr="009A2593" w:rsidRDefault="00F82350" w:rsidP="00E86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1500 – 1530</w:t>
            </w:r>
          </w:p>
        </w:tc>
        <w:tc>
          <w:tcPr>
            <w:tcW w:w="7461" w:type="dxa"/>
          </w:tcPr>
          <w:p w14:paraId="2B3DCC6F" w14:textId="77777777" w:rsidR="0089717B" w:rsidRPr="009A2593" w:rsidRDefault="009B074A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Coffee/tea</w:t>
            </w:r>
          </w:p>
          <w:p w14:paraId="3040781A" w14:textId="326F6EF2" w:rsidR="001611C6" w:rsidRPr="009A2593" w:rsidRDefault="001611C6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</w:p>
        </w:tc>
      </w:tr>
      <w:tr w:rsidR="00A21C52" w:rsidRPr="009A2593" w14:paraId="68AC9FA1" w14:textId="77777777" w:rsidTr="00E331EA">
        <w:tc>
          <w:tcPr>
            <w:tcW w:w="1555" w:type="dxa"/>
          </w:tcPr>
          <w:p w14:paraId="36E6C2EF" w14:textId="26F98868" w:rsidR="00A21C52" w:rsidRPr="009A2593" w:rsidRDefault="0089717B" w:rsidP="00E86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82350"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530</w:t>
            </w: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</w:t>
            </w:r>
            <w:r w:rsidR="00F82350"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61" w:type="dxa"/>
          </w:tcPr>
          <w:p w14:paraId="4B32817B" w14:textId="39923E78" w:rsidR="001611C6" w:rsidRDefault="001611C6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Panel 4</w:t>
            </w:r>
          </w:p>
          <w:p w14:paraId="40B47D6E" w14:textId="77777777" w:rsidR="00E8613B" w:rsidRPr="009A2593" w:rsidRDefault="00E8613B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</w:p>
          <w:p w14:paraId="3C22BFA8" w14:textId="77777777" w:rsidR="00B1305C" w:rsidRPr="009A2593" w:rsidRDefault="00B1305C" w:rsidP="00E8613B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iCs/>
                <w:sz w:val="20"/>
                <w:szCs w:val="20"/>
                <w:lang w:val="en-US"/>
              </w:rPr>
              <w:t>Globalization</w:t>
            </w:r>
          </w:p>
          <w:p w14:paraId="1C1F6F0B" w14:textId="77777777" w:rsidR="00B1305C" w:rsidRPr="009A2593" w:rsidRDefault="00B1305C" w:rsidP="00E8613B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Michael Widdowson (European University Institute)</w:t>
            </w:r>
          </w:p>
          <w:p w14:paraId="7CF3B8C2" w14:textId="77777777" w:rsidR="00B1305C" w:rsidRPr="009A2593" w:rsidRDefault="00B1305C" w:rsidP="00E861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3DA6C" w14:textId="77777777" w:rsidR="00B1305C" w:rsidRPr="009A2593" w:rsidRDefault="00B1305C" w:rsidP="00E8613B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Imperial, colonial and postcolonial trusts</w:t>
            </w:r>
          </w:p>
          <w:p w14:paraId="07DF231A" w14:textId="77777777" w:rsidR="00B1305C" w:rsidRPr="009A2593" w:rsidRDefault="00B1305C" w:rsidP="00E8613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Dr Brenna </w:t>
            </w:r>
            <w:proofErr w:type="spellStart"/>
            <w:r w:rsidRPr="009A2593">
              <w:rPr>
                <w:rFonts w:ascii="Arial" w:hAnsi="Arial" w:cs="Arial"/>
                <w:i/>
                <w:sz w:val="20"/>
                <w:szCs w:val="20"/>
                <w:lang w:val="en-US"/>
              </w:rPr>
              <w:t>Bhandar</w:t>
            </w:r>
            <w:proofErr w:type="spellEnd"/>
            <w:r w:rsidRPr="009A25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(University of British Colombia, Canada)</w:t>
            </w:r>
          </w:p>
          <w:p w14:paraId="4DD11201" w14:textId="35FC24C5" w:rsidR="001611C6" w:rsidRPr="009A2593" w:rsidRDefault="001611C6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</w:p>
        </w:tc>
      </w:tr>
      <w:tr w:rsidR="00F82350" w:rsidRPr="009A2593" w14:paraId="090FFE17" w14:textId="77777777" w:rsidTr="00E331EA">
        <w:tc>
          <w:tcPr>
            <w:tcW w:w="1555" w:type="dxa"/>
          </w:tcPr>
          <w:p w14:paraId="7939C3EF" w14:textId="50E84E7D" w:rsidR="00F82350" w:rsidRPr="009A2593" w:rsidRDefault="00F82350" w:rsidP="00E86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1630 – 1700</w:t>
            </w:r>
          </w:p>
        </w:tc>
        <w:tc>
          <w:tcPr>
            <w:tcW w:w="7461" w:type="dxa"/>
          </w:tcPr>
          <w:p w14:paraId="2193D62F" w14:textId="77777777" w:rsidR="00F82350" w:rsidRPr="009A2593" w:rsidRDefault="00F82350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Concluding discussion and next steps</w:t>
            </w:r>
          </w:p>
          <w:p w14:paraId="381E9A3E" w14:textId="1ECB79E4" w:rsidR="00F82350" w:rsidRPr="009A2593" w:rsidRDefault="00F82350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</w:p>
        </w:tc>
      </w:tr>
      <w:tr w:rsidR="00B1305C" w:rsidRPr="009A2593" w14:paraId="2EC7843A" w14:textId="77777777" w:rsidTr="00E331EA">
        <w:tc>
          <w:tcPr>
            <w:tcW w:w="1555" w:type="dxa"/>
          </w:tcPr>
          <w:p w14:paraId="08ACF094" w14:textId="63E72428" w:rsidR="00B1305C" w:rsidRPr="009A2593" w:rsidRDefault="00B1305C" w:rsidP="00E86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593">
              <w:rPr>
                <w:rFonts w:ascii="Arial" w:hAnsi="Arial" w:cs="Arial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7461" w:type="dxa"/>
          </w:tcPr>
          <w:p w14:paraId="3958D447" w14:textId="3E398F30" w:rsidR="00B1305C" w:rsidRPr="009A2593" w:rsidRDefault="00B1305C" w:rsidP="00E8613B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</w:pPr>
            <w:r w:rsidRPr="009A2593">
              <w:rPr>
                <w:rFonts w:ascii="Arial" w:hAnsi="Arial" w:cs="Arial"/>
                <w:b/>
                <w:iCs/>
                <w:sz w:val="20"/>
                <w:szCs w:val="20"/>
                <w:lang w:val="en-US"/>
              </w:rPr>
              <w:t>Workshop dinner</w:t>
            </w:r>
            <w:r w:rsidR="002A1E36" w:rsidRPr="009A2593">
              <w:rPr>
                <w:rStyle w:val="FootnoteReference"/>
                <w:rFonts w:ascii="Arial" w:hAnsi="Arial" w:cs="Arial"/>
                <w:b/>
                <w:iCs/>
                <w:sz w:val="20"/>
                <w:szCs w:val="20"/>
                <w:lang w:val="en-US"/>
              </w:rPr>
              <w:footnoteReference w:customMarkFollows="1" w:id="2"/>
              <w:t>*</w:t>
            </w:r>
          </w:p>
          <w:p w14:paraId="2247FAF0" w14:textId="77777777" w:rsidR="00197E9C" w:rsidRDefault="00313068" w:rsidP="00E8613B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A259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Zen</w:t>
            </w:r>
            <w:r w:rsidR="0079065B" w:rsidRPr="009A2593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, </w:t>
            </w:r>
            <w:r w:rsidR="0079065B" w:rsidRPr="009A2593">
              <w:rPr>
                <w:rFonts w:ascii="Arial" w:hAnsi="Arial" w:cs="Arial"/>
                <w:bCs/>
                <w:i/>
                <w:sz w:val="20"/>
                <w:szCs w:val="20"/>
              </w:rPr>
              <w:t>Court Lane, Durham, DH1 3JS</w:t>
            </w:r>
          </w:p>
          <w:p w14:paraId="6D960194" w14:textId="3A734B8C" w:rsidR="00E8613B" w:rsidRPr="005F160D" w:rsidRDefault="00E8613B" w:rsidP="00E8613B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14:paraId="1F83FBB9" w14:textId="77777777" w:rsidR="00C72FFA" w:rsidRPr="00F82350" w:rsidRDefault="00C72FFA" w:rsidP="005F160D">
      <w:pPr>
        <w:spacing w:after="0" w:line="276" w:lineRule="auto"/>
        <w:rPr>
          <w:rFonts w:ascii="Arial" w:hAnsi="Arial" w:cs="Arial"/>
          <w:sz w:val="21"/>
          <w:szCs w:val="21"/>
        </w:rPr>
      </w:pPr>
    </w:p>
    <w:sectPr w:rsidR="00C72FFA" w:rsidRPr="00F82350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38C1" w14:textId="77777777" w:rsidR="00913EF8" w:rsidRDefault="00913EF8" w:rsidP="001C6657">
      <w:pPr>
        <w:spacing w:after="0" w:line="240" w:lineRule="auto"/>
      </w:pPr>
      <w:r>
        <w:separator/>
      </w:r>
    </w:p>
  </w:endnote>
  <w:endnote w:type="continuationSeparator" w:id="0">
    <w:p w14:paraId="1D92922B" w14:textId="77777777" w:rsidR="00913EF8" w:rsidRDefault="00913EF8" w:rsidP="001C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88486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4A5136" w14:textId="79169B21" w:rsidR="00281E6C" w:rsidRDefault="00281E6C" w:rsidP="00D45B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9E8B15" w14:textId="77777777" w:rsidR="00281E6C" w:rsidRDefault="00281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3669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09DA63" w14:textId="6836AC7B" w:rsidR="00281E6C" w:rsidRDefault="00281E6C" w:rsidP="00D45B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65EB8B" w14:textId="77777777" w:rsidR="00281E6C" w:rsidRDefault="00281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159C" w14:textId="77777777" w:rsidR="00913EF8" w:rsidRDefault="00913EF8" w:rsidP="001C6657">
      <w:pPr>
        <w:spacing w:after="0" w:line="240" w:lineRule="auto"/>
      </w:pPr>
      <w:r>
        <w:separator/>
      </w:r>
    </w:p>
  </w:footnote>
  <w:footnote w:type="continuationSeparator" w:id="0">
    <w:p w14:paraId="41B70675" w14:textId="77777777" w:rsidR="00913EF8" w:rsidRDefault="00913EF8" w:rsidP="001C6657">
      <w:pPr>
        <w:spacing w:after="0" w:line="240" w:lineRule="auto"/>
      </w:pPr>
      <w:r>
        <w:continuationSeparator/>
      </w:r>
    </w:p>
  </w:footnote>
  <w:footnote w:id="1">
    <w:p w14:paraId="2450397F" w14:textId="5B7241F2" w:rsidR="00C13FEC" w:rsidRPr="00281E6C" w:rsidRDefault="00C13FEC" w:rsidP="005F160D">
      <w:pPr>
        <w:pStyle w:val="FootnoteText"/>
        <w:spacing w:line="276" w:lineRule="auto"/>
        <w:rPr>
          <w:rFonts w:ascii="Arial" w:hAnsi="Arial" w:cs="Arial"/>
        </w:rPr>
      </w:pPr>
      <w:r w:rsidRPr="00281E6C">
        <w:rPr>
          <w:rStyle w:val="FootnoteReference"/>
          <w:rFonts w:ascii="Arial" w:hAnsi="Arial" w:cs="Arial"/>
        </w:rPr>
        <w:t>*</w:t>
      </w:r>
      <w:r w:rsidRPr="00281E6C">
        <w:rPr>
          <w:rFonts w:ascii="Arial" w:hAnsi="Arial" w:cs="Arial"/>
        </w:rPr>
        <w:t xml:space="preserve"> </w:t>
      </w:r>
      <w:r w:rsidR="005F160D" w:rsidRPr="00281E6C">
        <w:rPr>
          <w:rFonts w:ascii="Arial" w:hAnsi="Arial" w:cs="Arial"/>
        </w:rPr>
        <w:t xml:space="preserve">This is an in-person </w:t>
      </w:r>
      <w:r w:rsidR="00281E6C" w:rsidRPr="00281E6C">
        <w:rPr>
          <w:rFonts w:ascii="Arial" w:hAnsi="Arial" w:cs="Arial"/>
        </w:rPr>
        <w:t>event</w:t>
      </w:r>
      <w:r w:rsidR="005F160D" w:rsidRPr="00281E6C">
        <w:rPr>
          <w:rFonts w:ascii="Arial" w:hAnsi="Arial" w:cs="Arial"/>
        </w:rPr>
        <w:t>, but r</w:t>
      </w:r>
      <w:r w:rsidRPr="00281E6C">
        <w:rPr>
          <w:rFonts w:ascii="Arial" w:hAnsi="Arial" w:cs="Arial"/>
        </w:rPr>
        <w:t xml:space="preserve">emote attendance </w:t>
      </w:r>
      <w:r w:rsidR="00281E6C">
        <w:rPr>
          <w:rFonts w:ascii="Arial" w:hAnsi="Arial" w:cs="Arial"/>
        </w:rPr>
        <w:t>is</w:t>
      </w:r>
      <w:r w:rsidRPr="00281E6C">
        <w:rPr>
          <w:rFonts w:ascii="Arial" w:hAnsi="Arial" w:cs="Arial"/>
        </w:rPr>
        <w:t xml:space="preserve"> available on request. </w:t>
      </w:r>
      <w:r w:rsidR="005F160D" w:rsidRPr="00281E6C">
        <w:rPr>
          <w:rFonts w:ascii="Arial" w:hAnsi="Arial" w:cs="Arial"/>
        </w:rPr>
        <w:t>Please c</w:t>
      </w:r>
      <w:r w:rsidRPr="00281E6C">
        <w:rPr>
          <w:rFonts w:ascii="Arial" w:hAnsi="Arial" w:cs="Arial"/>
        </w:rPr>
        <w:t xml:space="preserve">ontact Johanna Jacques </w:t>
      </w:r>
      <w:r w:rsidR="00281E6C" w:rsidRPr="00281E6C">
        <w:rPr>
          <w:rFonts w:ascii="Arial" w:hAnsi="Arial" w:cs="Arial"/>
        </w:rPr>
        <w:t>(</w:t>
      </w:r>
      <w:hyperlink r:id="rId1" w:history="1">
        <w:r w:rsidR="00281E6C" w:rsidRPr="00281E6C">
          <w:rPr>
            <w:rStyle w:val="Hyperlink"/>
            <w:rFonts w:ascii="Arial" w:hAnsi="Arial" w:cs="Arial"/>
          </w:rPr>
          <w:t>johanna.jacques@durham.ac.uk</w:t>
        </w:r>
      </w:hyperlink>
      <w:r w:rsidR="00281E6C" w:rsidRPr="00281E6C">
        <w:rPr>
          <w:rFonts w:ascii="Arial" w:hAnsi="Arial" w:cs="Arial"/>
        </w:rPr>
        <w:t xml:space="preserve">) </w:t>
      </w:r>
      <w:r w:rsidRPr="00281E6C">
        <w:rPr>
          <w:rFonts w:ascii="Arial" w:hAnsi="Arial" w:cs="Arial"/>
        </w:rPr>
        <w:t>for further information.</w:t>
      </w:r>
    </w:p>
  </w:footnote>
  <w:footnote w:id="2">
    <w:p w14:paraId="4136EDB8" w14:textId="2978E6D7" w:rsidR="002A1E36" w:rsidRPr="00B9772F" w:rsidRDefault="002A1E36" w:rsidP="00B9772F">
      <w:pPr>
        <w:spacing w:line="276" w:lineRule="auto"/>
        <w:rPr>
          <w:rFonts w:ascii="Arial" w:hAnsi="Arial" w:cs="Arial"/>
          <w:sz w:val="18"/>
          <w:szCs w:val="18"/>
        </w:rPr>
      </w:pPr>
      <w:r w:rsidRPr="00281E6C">
        <w:rPr>
          <w:rFonts w:ascii="Arial" w:hAnsi="Arial" w:cs="Arial"/>
          <w:sz w:val="20"/>
          <w:szCs w:val="20"/>
        </w:rPr>
        <w:t xml:space="preserve">* </w:t>
      </w:r>
      <w:r w:rsidR="00965FE7" w:rsidRPr="00281E6C">
        <w:rPr>
          <w:rFonts w:ascii="Arial" w:hAnsi="Arial" w:cs="Arial"/>
          <w:sz w:val="20"/>
          <w:szCs w:val="20"/>
        </w:rPr>
        <w:t xml:space="preserve">If you would like to join the speakers for dinner at your own expense, please </w:t>
      </w:r>
      <w:r w:rsidR="00281E6C">
        <w:rPr>
          <w:rFonts w:ascii="Arial" w:hAnsi="Arial" w:cs="Arial"/>
          <w:sz w:val="20"/>
          <w:szCs w:val="20"/>
        </w:rPr>
        <w:t>contact</w:t>
      </w:r>
      <w:r w:rsidR="00965FE7" w:rsidRPr="00281E6C">
        <w:rPr>
          <w:rFonts w:ascii="Arial" w:hAnsi="Arial" w:cs="Arial"/>
          <w:sz w:val="20"/>
          <w:szCs w:val="20"/>
        </w:rPr>
        <w:t xml:space="preserve"> </w:t>
      </w:r>
      <w:r w:rsidR="00B9772F" w:rsidRPr="00281E6C">
        <w:rPr>
          <w:rFonts w:ascii="Arial" w:hAnsi="Arial" w:cs="Arial"/>
          <w:sz w:val="20"/>
          <w:szCs w:val="20"/>
        </w:rPr>
        <w:t>Johanna Jacques (</w:t>
      </w:r>
      <w:hyperlink r:id="rId2" w:history="1">
        <w:r w:rsidR="00B9772F" w:rsidRPr="00281E6C">
          <w:rPr>
            <w:rStyle w:val="Hyperlink"/>
            <w:rFonts w:ascii="Arial" w:hAnsi="Arial" w:cs="Arial"/>
            <w:sz w:val="20"/>
            <w:szCs w:val="20"/>
          </w:rPr>
          <w:t>johanna.jacques@durham.ac.uk</w:t>
        </w:r>
      </w:hyperlink>
      <w:r w:rsidR="00B9772F" w:rsidRPr="00281E6C">
        <w:rPr>
          <w:rFonts w:ascii="Arial" w:hAnsi="Arial" w:cs="Arial"/>
          <w:sz w:val="20"/>
          <w:szCs w:val="20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B1FE8"/>
    <w:multiLevelType w:val="hybridMultilevel"/>
    <w:tmpl w:val="A328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91"/>
    <w:rsid w:val="00035BEB"/>
    <w:rsid w:val="00070D51"/>
    <w:rsid w:val="00074440"/>
    <w:rsid w:val="00087D58"/>
    <w:rsid w:val="00094A36"/>
    <w:rsid w:val="000D6980"/>
    <w:rsid w:val="00126F45"/>
    <w:rsid w:val="001611C6"/>
    <w:rsid w:val="001835A8"/>
    <w:rsid w:val="00197E9C"/>
    <w:rsid w:val="001C6657"/>
    <w:rsid w:val="00245FE7"/>
    <w:rsid w:val="00281E6C"/>
    <w:rsid w:val="002A1E36"/>
    <w:rsid w:val="00313068"/>
    <w:rsid w:val="003230B0"/>
    <w:rsid w:val="0036382F"/>
    <w:rsid w:val="003A5BDD"/>
    <w:rsid w:val="003C6682"/>
    <w:rsid w:val="003E3541"/>
    <w:rsid w:val="00401266"/>
    <w:rsid w:val="00483D77"/>
    <w:rsid w:val="00491283"/>
    <w:rsid w:val="005F160D"/>
    <w:rsid w:val="006D3186"/>
    <w:rsid w:val="0071322F"/>
    <w:rsid w:val="007518A8"/>
    <w:rsid w:val="0079065B"/>
    <w:rsid w:val="007D2FCC"/>
    <w:rsid w:val="0089717B"/>
    <w:rsid w:val="008F07A9"/>
    <w:rsid w:val="008F7B88"/>
    <w:rsid w:val="00913EF8"/>
    <w:rsid w:val="0091517C"/>
    <w:rsid w:val="0095184A"/>
    <w:rsid w:val="00951B72"/>
    <w:rsid w:val="00965FE7"/>
    <w:rsid w:val="009A2593"/>
    <w:rsid w:val="009A57E6"/>
    <w:rsid w:val="009B074A"/>
    <w:rsid w:val="00A05967"/>
    <w:rsid w:val="00A21C52"/>
    <w:rsid w:val="00A36401"/>
    <w:rsid w:val="00A6330C"/>
    <w:rsid w:val="00A75C63"/>
    <w:rsid w:val="00AA34EA"/>
    <w:rsid w:val="00AE0065"/>
    <w:rsid w:val="00B1305C"/>
    <w:rsid w:val="00B9772F"/>
    <w:rsid w:val="00C04291"/>
    <w:rsid w:val="00C05097"/>
    <w:rsid w:val="00C13FEC"/>
    <w:rsid w:val="00C72FFA"/>
    <w:rsid w:val="00CE4904"/>
    <w:rsid w:val="00E331EA"/>
    <w:rsid w:val="00E50938"/>
    <w:rsid w:val="00E72927"/>
    <w:rsid w:val="00E75C0D"/>
    <w:rsid w:val="00E8613B"/>
    <w:rsid w:val="00F00A2A"/>
    <w:rsid w:val="00F07773"/>
    <w:rsid w:val="00F541C7"/>
    <w:rsid w:val="00F81FF5"/>
    <w:rsid w:val="00F82350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FCCC"/>
  <w15:chartTrackingRefBased/>
  <w15:docId w15:val="{5F0B3D45-9318-41CB-9AB7-DD168593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05C"/>
  </w:style>
  <w:style w:type="paragraph" w:styleId="Heading1">
    <w:name w:val="heading 1"/>
    <w:basedOn w:val="Normal"/>
    <w:next w:val="Normal"/>
    <w:link w:val="Heading1Char"/>
    <w:uiPriority w:val="9"/>
    <w:qFormat/>
    <w:rsid w:val="00C04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291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66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66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66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912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2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160D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81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6C"/>
  </w:style>
  <w:style w:type="character" w:styleId="PageNumber">
    <w:name w:val="page number"/>
    <w:basedOn w:val="DefaultParagraphFont"/>
    <w:uiPriority w:val="99"/>
    <w:semiHidden/>
    <w:unhideWhenUsed/>
    <w:rsid w:val="00281E6C"/>
  </w:style>
  <w:style w:type="paragraph" w:styleId="Header">
    <w:name w:val="header"/>
    <w:basedOn w:val="Normal"/>
    <w:link w:val="HeaderChar"/>
    <w:uiPriority w:val="99"/>
    <w:unhideWhenUsed/>
    <w:rsid w:val="00281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hanna.jacques@durham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kent.ac.uk/equity-and-trust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urham.ac.uk/research/institutes-and-centres/law-philosoph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johanna.jacques@durham.ac.uk" TargetMode="External"/><Relationship Id="rId1" Type="http://schemas.openxmlformats.org/officeDocument/2006/relationships/hyperlink" Target="mailto:johanna.jacques@dur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B399-87CA-44C1-BF85-35D0584B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3856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Piska</dc:creator>
  <cp:keywords/>
  <dc:description/>
  <cp:lastModifiedBy>SMITH, JAMES H.</cp:lastModifiedBy>
  <cp:revision>2</cp:revision>
  <dcterms:created xsi:type="dcterms:W3CDTF">2025-08-13T15:00:00Z</dcterms:created>
  <dcterms:modified xsi:type="dcterms:W3CDTF">2025-08-13T15:00:00Z</dcterms:modified>
</cp:coreProperties>
</file>